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3EDF" w:rsidRPr="003E5382" w:rsidRDefault="00547316" w:rsidP="003E5382">
      <w:pPr>
        <w:jc w:val="both"/>
        <w:rPr>
          <w:rFonts w:ascii="Times New Roman" w:hAnsi="Times New Roman" w:cs="Times New Roman"/>
          <w:b/>
          <w:sz w:val="24"/>
          <w:szCs w:val="24"/>
        </w:rPr>
      </w:pPr>
      <w:r w:rsidRPr="003E5382">
        <w:rPr>
          <w:rFonts w:ascii="Times New Roman" w:hAnsi="Times New Roman" w:cs="Times New Roman"/>
          <w:b/>
          <w:sz w:val="24"/>
          <w:szCs w:val="24"/>
        </w:rPr>
        <w:t xml:space="preserve">Describe the economic benefits of doctrine </w:t>
      </w:r>
    </w:p>
    <w:p w:rsidR="007065EE" w:rsidRDefault="00547316" w:rsidP="003E5382">
      <w:pPr>
        <w:jc w:val="both"/>
        <w:rPr>
          <w:rFonts w:ascii="Times New Roman" w:hAnsi="Times New Roman" w:cs="Times New Roman"/>
          <w:sz w:val="24"/>
          <w:szCs w:val="24"/>
        </w:rPr>
      </w:pPr>
      <w:r>
        <w:rPr>
          <w:rFonts w:ascii="Times New Roman" w:hAnsi="Times New Roman" w:cs="Times New Roman"/>
          <w:sz w:val="24"/>
          <w:szCs w:val="24"/>
        </w:rPr>
        <w:t>This is the doctrine that is explained in the context of the cash basis taxpayers who get reparation for their services. The doctrine stipulates tha</w:t>
      </w:r>
      <w:bookmarkStart w:id="0" w:name="_GoBack"/>
      <w:bookmarkEnd w:id="0"/>
      <w:r>
        <w:rPr>
          <w:rFonts w:ascii="Times New Roman" w:hAnsi="Times New Roman" w:cs="Times New Roman"/>
          <w:sz w:val="24"/>
          <w:szCs w:val="24"/>
        </w:rPr>
        <w:t>t economic benefit is attained w</w:t>
      </w:r>
      <w:r w:rsidR="007065EE">
        <w:rPr>
          <w:rFonts w:ascii="Times New Roman" w:hAnsi="Times New Roman" w:cs="Times New Roman"/>
          <w:sz w:val="24"/>
          <w:szCs w:val="24"/>
        </w:rPr>
        <w:t xml:space="preserve">hen the cash basis tax payer is granted right to get property in the future. As per the current doctrine, the taxation is fixed, there is no subject to the payer’s debtors as well as placement of the benefits in irrevocable trust fund that can only be used for the sole benefit of the tax payer. </w:t>
      </w:r>
    </w:p>
    <w:p w:rsidR="007065EE" w:rsidRDefault="007065EE" w:rsidP="003E5382">
      <w:pPr>
        <w:jc w:val="both"/>
        <w:rPr>
          <w:rFonts w:ascii="Times New Roman" w:hAnsi="Times New Roman" w:cs="Times New Roman"/>
          <w:sz w:val="24"/>
          <w:szCs w:val="24"/>
        </w:rPr>
      </w:pPr>
      <w:r w:rsidRPr="003E5382">
        <w:rPr>
          <w:rFonts w:ascii="Times New Roman" w:hAnsi="Times New Roman" w:cs="Times New Roman"/>
          <w:b/>
          <w:sz w:val="24"/>
          <w:szCs w:val="24"/>
        </w:rPr>
        <w:t>What are the four conditions that must exist before an expenditure qualifies as a trade or business expense</w:t>
      </w:r>
      <w:r>
        <w:rPr>
          <w:rFonts w:ascii="Times New Roman" w:hAnsi="Times New Roman" w:cs="Times New Roman"/>
          <w:sz w:val="24"/>
          <w:szCs w:val="24"/>
        </w:rPr>
        <w:t>?</w:t>
      </w:r>
    </w:p>
    <w:p w:rsidR="007065EE" w:rsidRDefault="007065EE" w:rsidP="003E5382">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The expense must be incurred during the taxable year</w:t>
      </w:r>
    </w:p>
    <w:p w:rsidR="007065EE" w:rsidRDefault="007065EE" w:rsidP="003E5382">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It should be a reasonable expense</w:t>
      </w:r>
    </w:p>
    <w:p w:rsidR="007065EE" w:rsidRDefault="007065EE" w:rsidP="003E5382">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The expense should be essential and an ordinary in nature</w:t>
      </w:r>
    </w:p>
    <w:p w:rsidR="007065EE" w:rsidRPr="007065EE" w:rsidRDefault="003E5382" w:rsidP="003E5382">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The expense must be business related </w:t>
      </w:r>
    </w:p>
    <w:p w:rsidR="00547316" w:rsidRPr="003E5382" w:rsidRDefault="007065EE" w:rsidP="003E5382">
      <w:pPr>
        <w:jc w:val="both"/>
        <w:rPr>
          <w:rFonts w:ascii="Times New Roman" w:hAnsi="Times New Roman" w:cs="Times New Roman"/>
          <w:b/>
          <w:sz w:val="24"/>
          <w:szCs w:val="24"/>
        </w:rPr>
      </w:pPr>
      <w:r>
        <w:rPr>
          <w:rFonts w:ascii="Times New Roman" w:hAnsi="Times New Roman" w:cs="Times New Roman"/>
          <w:sz w:val="24"/>
          <w:szCs w:val="24"/>
        </w:rPr>
        <w:t xml:space="preserve"> </w:t>
      </w:r>
      <w:r w:rsidR="003E5382" w:rsidRPr="003E5382">
        <w:rPr>
          <w:rFonts w:ascii="Times New Roman" w:hAnsi="Times New Roman" w:cs="Times New Roman"/>
          <w:b/>
          <w:sz w:val="24"/>
          <w:szCs w:val="24"/>
        </w:rPr>
        <w:t>What is an annuity, and what features determine the amount of income associated with the annuity contract?</w:t>
      </w:r>
    </w:p>
    <w:p w:rsidR="003E5382" w:rsidRPr="00BC1A0E" w:rsidRDefault="003E5382" w:rsidP="003E5382">
      <w:pPr>
        <w:spacing w:line="480" w:lineRule="auto"/>
        <w:ind w:firstLine="720"/>
        <w:jc w:val="both"/>
        <w:rPr>
          <w:rFonts w:ascii="Times New Roman" w:hAnsi="Times New Roman" w:cs="Times New Roman"/>
          <w:sz w:val="24"/>
          <w:szCs w:val="24"/>
        </w:rPr>
      </w:pPr>
      <w:r w:rsidRPr="00BC1A0E">
        <w:rPr>
          <w:rFonts w:ascii="Times New Roman" w:hAnsi="Times New Roman" w:cs="Times New Roman"/>
          <w:sz w:val="24"/>
          <w:szCs w:val="24"/>
        </w:rPr>
        <w:t>An annuity refers to a contract that occurs between a person and an insurance corporation. During this process, an insurer makes a sequence of p</w:t>
      </w:r>
      <w:r>
        <w:rPr>
          <w:rFonts w:ascii="Times New Roman" w:hAnsi="Times New Roman" w:cs="Times New Roman"/>
          <w:sz w:val="24"/>
          <w:szCs w:val="24"/>
        </w:rPr>
        <w:t>ayments after which he or she</w:t>
      </w:r>
      <w:r w:rsidRPr="00BC1A0E">
        <w:rPr>
          <w:rFonts w:ascii="Times New Roman" w:hAnsi="Times New Roman" w:cs="Times New Roman"/>
          <w:sz w:val="24"/>
          <w:szCs w:val="24"/>
        </w:rPr>
        <w:t xml:space="preserve"> receives consistent disbursement</w:t>
      </w:r>
      <w:r>
        <w:rPr>
          <w:rFonts w:ascii="Times New Roman" w:hAnsi="Times New Roman" w:cs="Times New Roman"/>
          <w:sz w:val="24"/>
          <w:szCs w:val="24"/>
        </w:rPr>
        <w:t>s</w:t>
      </w:r>
      <w:r w:rsidRPr="00BC1A0E">
        <w:rPr>
          <w:rFonts w:ascii="Times New Roman" w:hAnsi="Times New Roman" w:cs="Times New Roman"/>
          <w:sz w:val="24"/>
          <w:szCs w:val="24"/>
        </w:rPr>
        <w:t xml:space="preserve">. </w:t>
      </w:r>
      <w:r>
        <w:rPr>
          <w:rFonts w:ascii="Times New Roman" w:hAnsi="Times New Roman" w:cs="Times New Roman"/>
          <w:sz w:val="24"/>
          <w:szCs w:val="24"/>
        </w:rPr>
        <w:t>Features like the income of a person can determine the amount of income associated with the annuity contract. Also, there is the death feature which is determined by looking at the first premium that is remitted to the insurance firm. Lastly, there is access feature that caters for health problems.</w:t>
      </w:r>
    </w:p>
    <w:p w:rsidR="003E5382" w:rsidRDefault="003E5382" w:rsidP="003E5382">
      <w:pPr>
        <w:jc w:val="both"/>
        <w:rPr>
          <w:rFonts w:ascii="Times New Roman" w:hAnsi="Times New Roman" w:cs="Times New Roman"/>
          <w:sz w:val="24"/>
          <w:szCs w:val="24"/>
        </w:rPr>
      </w:pPr>
    </w:p>
    <w:p w:rsidR="00547316" w:rsidRPr="00547316" w:rsidRDefault="00547316" w:rsidP="003E5382">
      <w:pPr>
        <w:jc w:val="both"/>
        <w:rPr>
          <w:rFonts w:ascii="Times New Roman" w:hAnsi="Times New Roman" w:cs="Times New Roman"/>
          <w:sz w:val="24"/>
          <w:szCs w:val="24"/>
        </w:rPr>
      </w:pPr>
    </w:p>
    <w:sectPr w:rsidR="00547316" w:rsidRPr="005473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617460B"/>
    <w:multiLevelType w:val="hybridMultilevel"/>
    <w:tmpl w:val="CF047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7316"/>
    <w:rsid w:val="00031176"/>
    <w:rsid w:val="003E5382"/>
    <w:rsid w:val="00547316"/>
    <w:rsid w:val="006B6EC0"/>
    <w:rsid w:val="007065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CDFF37-D455-4B25-B472-14BDC6AFF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65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213</Words>
  <Characters>1219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 Scofied</dc:creator>
  <cp:keywords/>
  <dc:description/>
  <cp:lastModifiedBy>Prof Scofied</cp:lastModifiedBy>
  <cp:revision>1</cp:revision>
  <dcterms:created xsi:type="dcterms:W3CDTF">2018-08-21T18:03:00Z</dcterms:created>
  <dcterms:modified xsi:type="dcterms:W3CDTF">2018-08-21T18:27:00Z</dcterms:modified>
</cp:coreProperties>
</file>